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54" w:rsidRDefault="00C81954" w:rsidP="00C81954">
      <w:pPr>
        <w:ind w:left="5760" w:firstLine="720"/>
        <w:rPr>
          <w:rFonts w:ascii="Arial" w:eastAsia="Arial" w:hAnsi="Arial" w:cs="Arial"/>
          <w:b/>
          <w:sz w:val="28"/>
          <w:u w:color="000000"/>
        </w:rPr>
      </w:pPr>
      <w:r>
        <w:rPr>
          <w:rFonts w:ascii="Arial" w:eastAsia="Arial" w:hAnsi="Arial" w:cs="Arial"/>
          <w:b/>
          <w:sz w:val="28"/>
          <w:u w:color="000000"/>
        </w:rPr>
        <w:t>Appendix 4</w:t>
      </w:r>
    </w:p>
    <w:p w:rsidR="00C81954" w:rsidRDefault="00C81954" w:rsidP="00C81954">
      <w:pPr>
        <w:rPr>
          <w:rFonts w:ascii="Arial" w:eastAsia="Arial" w:hAnsi="Arial" w:cs="Arial"/>
          <w:b/>
          <w:sz w:val="28"/>
          <w:u w:color="000000"/>
        </w:rPr>
      </w:pPr>
    </w:p>
    <w:p w:rsidR="00C81954" w:rsidRPr="00EF05FE" w:rsidRDefault="00C81954" w:rsidP="00C81954">
      <w:pPr>
        <w:rPr>
          <w:rFonts w:ascii="Arial" w:eastAsia="Arial" w:hAnsi="Arial" w:cs="Arial"/>
          <w:color w:val="000000"/>
          <w:u w:color="000000"/>
          <w:lang w:eastAsia="en-GB"/>
        </w:rPr>
      </w:pPr>
      <w:r w:rsidRPr="008A17FF">
        <w:rPr>
          <w:rFonts w:ascii="Arial" w:eastAsia="Arial" w:hAnsi="Arial" w:cs="Arial"/>
          <w:b/>
          <w:sz w:val="28"/>
          <w:u w:color="000000"/>
        </w:rPr>
        <w:t>Community Protection Notice Use in Oxford</w:t>
      </w:r>
    </w:p>
    <w:p w:rsidR="00C81954" w:rsidRPr="00AB7A49" w:rsidRDefault="00C81954" w:rsidP="00C81954">
      <w:pPr>
        <w:rPr>
          <w:rFonts w:ascii="Arial" w:hAnsi="Arial" w:cs="Arial"/>
        </w:rPr>
      </w:pPr>
    </w:p>
    <w:p w:rsidR="00C81954" w:rsidRPr="008A17FF" w:rsidRDefault="00C81954" w:rsidP="00C81954">
      <w:pPr>
        <w:pStyle w:val="ListParagraph"/>
        <w:numPr>
          <w:ilvl w:val="0"/>
          <w:numId w:val="1"/>
        </w:numPr>
        <w:spacing w:line="276" w:lineRule="auto"/>
        <w:ind w:left="426" w:hanging="426"/>
        <w:rPr>
          <w:rStyle w:val="Hyperlink"/>
          <w:rFonts w:ascii="Helvetica Neue" w:eastAsia="Arial Unicode MS" w:hAnsi="Helvetica Neue" w:cs="Arial" w:hint="eastAsia"/>
          <w:sz w:val="22"/>
          <w:szCs w:val="22"/>
          <w:u w:val="none"/>
          <w:bdr w:val="nil"/>
          <w:lang w:val="en-US"/>
        </w:rPr>
      </w:pPr>
      <w:r w:rsidRPr="008A17FF">
        <w:rPr>
          <w:rFonts w:cs="Arial"/>
        </w:rPr>
        <w:t xml:space="preserve">The Anti-Social Behaviour, Crime and Policing Act 2014 introduced a range of new powers to address anti-social behaviour.  The guidance for the act can be found here: </w:t>
      </w:r>
      <w:hyperlink r:id="rId7" w:history="1">
        <w:r w:rsidRPr="008A17FF">
          <w:rPr>
            <w:rStyle w:val="Hyperlink"/>
            <w:rFonts w:cs="Arial"/>
          </w:rPr>
          <w:t>https://www.gov.uk/government/publications/anti-social-behaviour-crime-and-policing-bill-anti-social-behaviour</w:t>
        </w:r>
      </w:hyperlink>
    </w:p>
    <w:p w:rsidR="00C81954" w:rsidRPr="008A17FF" w:rsidRDefault="00C81954" w:rsidP="00C81954">
      <w:pPr>
        <w:pStyle w:val="ListParagraph"/>
        <w:numPr>
          <w:ilvl w:val="0"/>
          <w:numId w:val="1"/>
        </w:numPr>
        <w:spacing w:line="276" w:lineRule="auto"/>
        <w:ind w:left="426" w:hanging="426"/>
        <w:rPr>
          <w:rFonts w:cs="Arial"/>
        </w:rPr>
      </w:pPr>
      <w:r w:rsidRPr="008A17FF">
        <w:rPr>
          <w:rFonts w:cs="Arial"/>
        </w:rPr>
        <w:t xml:space="preserve">The guidance states that these powers are intended to put victims first by providing quicker and more flexible tools for the police and local authorities to respond to problems within their communities. </w:t>
      </w:r>
    </w:p>
    <w:p w:rsidR="00C81954" w:rsidRDefault="00C81954" w:rsidP="00C81954">
      <w:pPr>
        <w:spacing w:line="276" w:lineRule="auto"/>
        <w:ind w:left="426" w:hanging="426"/>
        <w:rPr>
          <w:rFonts w:ascii="Arial" w:hAnsi="Arial" w:cs="Arial"/>
          <w:b/>
        </w:rPr>
      </w:pPr>
      <w:r w:rsidRPr="00AB7A49">
        <w:rPr>
          <w:rFonts w:ascii="Arial" w:hAnsi="Arial" w:cs="Arial"/>
          <w:b/>
        </w:rPr>
        <w:t>Co</w:t>
      </w:r>
      <w:r>
        <w:rPr>
          <w:rFonts w:ascii="Arial" w:hAnsi="Arial" w:cs="Arial"/>
          <w:b/>
        </w:rPr>
        <w:t>mmunity Protection Notice (CPN)</w:t>
      </w:r>
    </w:p>
    <w:p w:rsidR="00C81954" w:rsidRDefault="00C81954" w:rsidP="00C81954">
      <w:pPr>
        <w:spacing w:line="276" w:lineRule="auto"/>
        <w:ind w:left="426" w:hanging="426"/>
        <w:rPr>
          <w:rFonts w:ascii="Arial" w:hAnsi="Arial" w:cs="Arial"/>
          <w:b/>
        </w:rPr>
      </w:pPr>
    </w:p>
    <w:p w:rsidR="00C81954" w:rsidRPr="00734E15" w:rsidRDefault="00C81954" w:rsidP="00C81954">
      <w:pPr>
        <w:pStyle w:val="ListParagraph"/>
        <w:numPr>
          <w:ilvl w:val="0"/>
          <w:numId w:val="1"/>
        </w:numPr>
        <w:spacing w:line="276" w:lineRule="auto"/>
        <w:ind w:left="426" w:hanging="426"/>
        <w:rPr>
          <w:rFonts w:cs="Arial"/>
          <w:b/>
        </w:rPr>
      </w:pPr>
      <w:r w:rsidRPr="00734E15">
        <w:rPr>
          <w:rFonts w:cs="Arial"/>
        </w:rPr>
        <w:t>CPNs were introduced to address persistent, unreasonable behaviour detrimental to the quality of life of those in the area.  A Notice is preceded by a Community Protection Warning (CPW) that advises the recipient that the police or local authority require the person to cease certain behaviours.  It can include positive requirements, such as keep an area tidy or attend a support group.</w:t>
      </w:r>
    </w:p>
    <w:p w:rsidR="00C81954" w:rsidRPr="00734E15" w:rsidRDefault="00C81954" w:rsidP="00C81954">
      <w:pPr>
        <w:pStyle w:val="ListParagraph"/>
        <w:numPr>
          <w:ilvl w:val="0"/>
          <w:numId w:val="1"/>
        </w:numPr>
        <w:spacing w:line="276" w:lineRule="auto"/>
        <w:ind w:left="426" w:hanging="426"/>
        <w:rPr>
          <w:rFonts w:cs="Arial"/>
          <w:b/>
        </w:rPr>
      </w:pPr>
      <w:r w:rsidRPr="00734E15">
        <w:rPr>
          <w:rFonts w:cs="Arial"/>
        </w:rPr>
        <w:t xml:space="preserve">A breach of the CPW results in the serving of a CPN, often but not always identical in its requirements.  A breach of the CPN is a criminal offence and can result in a Fixed Penalty Notice and/or prosecution in the Magistrates Court, and gives the Council the power to take remedial action to resolve the problem.  Contrary to recent publicity surrounding the use of CPNs in Oxford, only the court can </w:t>
      </w:r>
      <w:proofErr w:type="spellStart"/>
      <w:r w:rsidRPr="00734E15">
        <w:rPr>
          <w:rFonts w:cs="Arial"/>
        </w:rPr>
        <w:t>fine</w:t>
      </w:r>
      <w:proofErr w:type="spellEnd"/>
      <w:r w:rsidRPr="00734E15">
        <w:rPr>
          <w:rFonts w:cs="Arial"/>
        </w:rPr>
        <w:t xml:space="preserve"> a person for breaching a CPN.   Fines are up to a maximum of £2500 for a person, or unlimited for a business.</w:t>
      </w:r>
    </w:p>
    <w:p w:rsidR="00C81954" w:rsidRPr="00AB7A49" w:rsidRDefault="00C81954" w:rsidP="00C81954">
      <w:pPr>
        <w:rPr>
          <w:rFonts w:ascii="Arial" w:hAnsi="Arial" w:cs="Arial"/>
        </w:rPr>
      </w:pPr>
    </w:p>
    <w:p w:rsidR="00C81954" w:rsidRPr="00AB7A49" w:rsidRDefault="00C81954" w:rsidP="00C81954">
      <w:pPr>
        <w:rPr>
          <w:rFonts w:ascii="Arial" w:hAnsi="Arial" w:cs="Arial"/>
          <w:b/>
        </w:rPr>
      </w:pPr>
      <w:r w:rsidRPr="00AB7A49">
        <w:rPr>
          <w:rFonts w:ascii="Arial" w:hAnsi="Arial" w:cs="Arial"/>
          <w:b/>
        </w:rPr>
        <w:t>Use of CPNs and PSPO in Oxford</w:t>
      </w:r>
    </w:p>
    <w:p w:rsidR="00C81954" w:rsidRPr="00AB7A49" w:rsidRDefault="00C81954" w:rsidP="00C81954">
      <w:pPr>
        <w:rPr>
          <w:rFonts w:ascii="Arial" w:hAnsi="Arial" w:cs="Arial"/>
        </w:rPr>
      </w:pPr>
    </w:p>
    <w:p w:rsidR="00C81954" w:rsidRPr="00AB7A49" w:rsidRDefault="00C81954" w:rsidP="00C81954">
      <w:pPr>
        <w:rPr>
          <w:rFonts w:ascii="Arial" w:hAnsi="Arial" w:cs="Arial"/>
        </w:rPr>
      </w:pPr>
      <w:r w:rsidRPr="00AB7A49">
        <w:rPr>
          <w:rFonts w:ascii="Arial" w:hAnsi="Arial" w:cs="Arial"/>
        </w:rPr>
        <w:t>Since April 2017 Oxford City Council has issued:</w:t>
      </w:r>
    </w:p>
    <w:tbl>
      <w:tblPr>
        <w:tblStyle w:val="TableGrid"/>
        <w:tblW w:w="0" w:type="auto"/>
        <w:tblInd w:w="108" w:type="dxa"/>
        <w:tblLook w:val="04A0" w:firstRow="1" w:lastRow="0" w:firstColumn="1" w:lastColumn="0" w:noHBand="0" w:noVBand="1"/>
      </w:tblPr>
      <w:tblGrid>
        <w:gridCol w:w="2376"/>
        <w:gridCol w:w="1843"/>
        <w:gridCol w:w="1843"/>
        <w:gridCol w:w="2869"/>
      </w:tblGrid>
      <w:tr w:rsidR="00C81954" w:rsidRPr="00AB7A49" w:rsidTr="00800C54">
        <w:tc>
          <w:tcPr>
            <w:tcW w:w="2376" w:type="dxa"/>
          </w:tcPr>
          <w:p w:rsidR="00C81954" w:rsidRPr="00AB7A49" w:rsidRDefault="00C81954" w:rsidP="00800C54"/>
        </w:tc>
        <w:tc>
          <w:tcPr>
            <w:tcW w:w="1843" w:type="dxa"/>
          </w:tcPr>
          <w:p w:rsidR="00C81954" w:rsidRPr="00AB7A49" w:rsidRDefault="00C81954" w:rsidP="00800C54">
            <w:pPr>
              <w:jc w:val="right"/>
            </w:pPr>
            <w:r w:rsidRPr="00AB7A49">
              <w:t>April 2015-16</w:t>
            </w:r>
          </w:p>
        </w:tc>
        <w:tc>
          <w:tcPr>
            <w:tcW w:w="1843" w:type="dxa"/>
          </w:tcPr>
          <w:p w:rsidR="00C81954" w:rsidRPr="00AB7A49" w:rsidRDefault="00C81954" w:rsidP="00800C54">
            <w:pPr>
              <w:jc w:val="right"/>
            </w:pPr>
            <w:r w:rsidRPr="00AB7A49">
              <w:t>April 2016-17</w:t>
            </w:r>
          </w:p>
        </w:tc>
        <w:tc>
          <w:tcPr>
            <w:tcW w:w="2869" w:type="dxa"/>
          </w:tcPr>
          <w:p w:rsidR="00C81954" w:rsidRPr="00AB7A49" w:rsidRDefault="00C81954" w:rsidP="00800C54">
            <w:pPr>
              <w:jc w:val="right"/>
            </w:pPr>
            <w:r w:rsidRPr="00AB7A49">
              <w:t>April – October 2017</w:t>
            </w:r>
          </w:p>
        </w:tc>
      </w:tr>
      <w:tr w:rsidR="00C81954" w:rsidRPr="00AB7A49" w:rsidTr="00800C54">
        <w:tc>
          <w:tcPr>
            <w:tcW w:w="2376" w:type="dxa"/>
          </w:tcPr>
          <w:p w:rsidR="00C81954" w:rsidRPr="00AB7A49" w:rsidRDefault="00C81954" w:rsidP="00800C54">
            <w:r w:rsidRPr="00AB7A49">
              <w:t>CPW</w:t>
            </w:r>
          </w:p>
        </w:tc>
        <w:tc>
          <w:tcPr>
            <w:tcW w:w="1843" w:type="dxa"/>
          </w:tcPr>
          <w:p w:rsidR="00C81954" w:rsidRPr="00AB7A49" w:rsidRDefault="00C81954" w:rsidP="00800C54">
            <w:pPr>
              <w:jc w:val="right"/>
            </w:pPr>
            <w:r w:rsidRPr="00AB7A49">
              <w:t>156</w:t>
            </w:r>
          </w:p>
        </w:tc>
        <w:tc>
          <w:tcPr>
            <w:tcW w:w="1843" w:type="dxa"/>
          </w:tcPr>
          <w:p w:rsidR="00C81954" w:rsidRPr="00AB7A49" w:rsidRDefault="00C81954" w:rsidP="00800C54">
            <w:pPr>
              <w:jc w:val="right"/>
            </w:pPr>
            <w:r w:rsidRPr="00AB7A49">
              <w:t>140</w:t>
            </w:r>
          </w:p>
        </w:tc>
        <w:tc>
          <w:tcPr>
            <w:tcW w:w="2869" w:type="dxa"/>
          </w:tcPr>
          <w:p w:rsidR="00C81954" w:rsidRPr="00AB7A49" w:rsidRDefault="00C81954" w:rsidP="00800C54">
            <w:pPr>
              <w:jc w:val="right"/>
            </w:pPr>
            <w:r w:rsidRPr="00AB7A49">
              <w:t>109</w:t>
            </w:r>
          </w:p>
        </w:tc>
      </w:tr>
      <w:tr w:rsidR="00C81954" w:rsidRPr="00AB7A49" w:rsidTr="00800C54">
        <w:tc>
          <w:tcPr>
            <w:tcW w:w="2376" w:type="dxa"/>
          </w:tcPr>
          <w:p w:rsidR="00C81954" w:rsidRPr="00AB7A49" w:rsidRDefault="00C81954" w:rsidP="00800C54">
            <w:r w:rsidRPr="00AB7A49">
              <w:t>CPN</w:t>
            </w:r>
          </w:p>
        </w:tc>
        <w:tc>
          <w:tcPr>
            <w:tcW w:w="1843" w:type="dxa"/>
          </w:tcPr>
          <w:p w:rsidR="00C81954" w:rsidRPr="00AB7A49" w:rsidRDefault="00C81954" w:rsidP="00800C54">
            <w:pPr>
              <w:jc w:val="right"/>
            </w:pPr>
            <w:r w:rsidRPr="00AB7A49">
              <w:t>38</w:t>
            </w:r>
          </w:p>
        </w:tc>
        <w:tc>
          <w:tcPr>
            <w:tcW w:w="1843" w:type="dxa"/>
          </w:tcPr>
          <w:p w:rsidR="00C81954" w:rsidRPr="00AB7A49" w:rsidRDefault="00C81954" w:rsidP="00800C54">
            <w:pPr>
              <w:jc w:val="right"/>
            </w:pPr>
            <w:r w:rsidRPr="00AB7A49">
              <w:t>24</w:t>
            </w:r>
          </w:p>
        </w:tc>
        <w:tc>
          <w:tcPr>
            <w:tcW w:w="2869" w:type="dxa"/>
          </w:tcPr>
          <w:p w:rsidR="00C81954" w:rsidRPr="00AB7A49" w:rsidRDefault="00C81954" w:rsidP="00800C54">
            <w:pPr>
              <w:jc w:val="right"/>
            </w:pPr>
            <w:r w:rsidRPr="00AB7A49">
              <w:t>24</w:t>
            </w:r>
          </w:p>
        </w:tc>
      </w:tr>
      <w:tr w:rsidR="00C81954" w:rsidRPr="00AB7A49" w:rsidTr="00800C54">
        <w:tc>
          <w:tcPr>
            <w:tcW w:w="2376" w:type="dxa"/>
          </w:tcPr>
          <w:p w:rsidR="00C81954" w:rsidRPr="00AB7A49" w:rsidRDefault="00C81954" w:rsidP="00800C54">
            <w:r w:rsidRPr="00AB7A49">
              <w:t>FPN</w:t>
            </w:r>
          </w:p>
        </w:tc>
        <w:tc>
          <w:tcPr>
            <w:tcW w:w="1843" w:type="dxa"/>
          </w:tcPr>
          <w:p w:rsidR="00C81954" w:rsidRPr="00AB7A49" w:rsidRDefault="00C81954" w:rsidP="00800C54">
            <w:pPr>
              <w:jc w:val="right"/>
            </w:pPr>
            <w:r w:rsidRPr="00AB7A49">
              <w:t>0</w:t>
            </w:r>
          </w:p>
        </w:tc>
        <w:tc>
          <w:tcPr>
            <w:tcW w:w="1843" w:type="dxa"/>
          </w:tcPr>
          <w:p w:rsidR="00C81954" w:rsidRPr="00AB7A49" w:rsidRDefault="00C81954" w:rsidP="00800C54">
            <w:pPr>
              <w:jc w:val="right"/>
            </w:pPr>
            <w:r w:rsidRPr="00AB7A49">
              <w:t>1</w:t>
            </w:r>
          </w:p>
        </w:tc>
        <w:tc>
          <w:tcPr>
            <w:tcW w:w="2869" w:type="dxa"/>
          </w:tcPr>
          <w:p w:rsidR="00C81954" w:rsidRPr="00AB7A49" w:rsidRDefault="00C81954" w:rsidP="00800C54">
            <w:pPr>
              <w:jc w:val="right"/>
            </w:pPr>
            <w:r w:rsidRPr="00AB7A49">
              <w:t>4</w:t>
            </w:r>
          </w:p>
        </w:tc>
      </w:tr>
    </w:tbl>
    <w:p w:rsidR="00C81954" w:rsidRPr="00AB7A49" w:rsidRDefault="00C81954" w:rsidP="00C81954">
      <w:pPr>
        <w:rPr>
          <w:rFonts w:ascii="Arial" w:hAnsi="Arial" w:cs="Arial"/>
        </w:rPr>
      </w:pPr>
    </w:p>
    <w:p w:rsidR="00C81954" w:rsidRDefault="00C81954" w:rsidP="00C81954">
      <w:pPr>
        <w:pStyle w:val="ListParagraph"/>
        <w:numPr>
          <w:ilvl w:val="0"/>
          <w:numId w:val="1"/>
        </w:numPr>
        <w:rPr>
          <w:rFonts w:cs="Arial"/>
        </w:rPr>
      </w:pPr>
      <w:r w:rsidRPr="00734E15">
        <w:rPr>
          <w:rFonts w:cs="Arial"/>
        </w:rPr>
        <w:t xml:space="preserve">The most common reasons for using CPNs are waste, other environmental problems and noise complaints.   </w:t>
      </w:r>
    </w:p>
    <w:p w:rsidR="00C81954" w:rsidRPr="00F02F03" w:rsidRDefault="00C81954" w:rsidP="00C81954">
      <w:pPr>
        <w:pStyle w:val="ListParagraph"/>
        <w:numPr>
          <w:ilvl w:val="0"/>
          <w:numId w:val="1"/>
        </w:numPr>
        <w:rPr>
          <w:rFonts w:cs="Arial"/>
        </w:rPr>
      </w:pPr>
      <w:r w:rsidRPr="00F02F03">
        <w:rPr>
          <w:rFonts w:cs="Arial"/>
        </w:rPr>
        <w:t>CPN usage can be compared to Newham BC whose statistics for October 2014 to October 2015 are illustrated in the table below. The most common use of CPNs was noise, street drinking, rough sleeping and waste in gardens.</w:t>
      </w:r>
    </w:p>
    <w:tbl>
      <w:tblPr>
        <w:tblStyle w:val="TableGrid"/>
        <w:tblW w:w="0" w:type="auto"/>
        <w:tblInd w:w="108" w:type="dxa"/>
        <w:tblLook w:val="04A0" w:firstRow="1" w:lastRow="0" w:firstColumn="1" w:lastColumn="0" w:noHBand="0" w:noVBand="1"/>
      </w:tblPr>
      <w:tblGrid>
        <w:gridCol w:w="1848"/>
        <w:gridCol w:w="1095"/>
      </w:tblGrid>
      <w:tr w:rsidR="00C81954" w:rsidRPr="00AB7A49" w:rsidTr="00800C54">
        <w:tc>
          <w:tcPr>
            <w:tcW w:w="1848" w:type="dxa"/>
          </w:tcPr>
          <w:p w:rsidR="00C81954" w:rsidRPr="00AB7A49" w:rsidRDefault="00C81954" w:rsidP="00800C54">
            <w:r w:rsidRPr="00AB7A49">
              <w:t>CPW</w:t>
            </w:r>
          </w:p>
        </w:tc>
        <w:tc>
          <w:tcPr>
            <w:tcW w:w="1095" w:type="dxa"/>
          </w:tcPr>
          <w:p w:rsidR="00C81954" w:rsidRPr="00AB7A49" w:rsidRDefault="00C81954" w:rsidP="00800C54">
            <w:pPr>
              <w:jc w:val="right"/>
            </w:pPr>
            <w:r w:rsidRPr="00AB7A49">
              <w:t>9,109</w:t>
            </w:r>
          </w:p>
        </w:tc>
      </w:tr>
      <w:tr w:rsidR="00C81954" w:rsidRPr="00AB7A49" w:rsidTr="00800C54">
        <w:tc>
          <w:tcPr>
            <w:tcW w:w="1848" w:type="dxa"/>
          </w:tcPr>
          <w:p w:rsidR="00C81954" w:rsidRPr="00AB7A49" w:rsidRDefault="00C81954" w:rsidP="00800C54">
            <w:r w:rsidRPr="00AB7A49">
              <w:t>CPN</w:t>
            </w:r>
          </w:p>
        </w:tc>
        <w:tc>
          <w:tcPr>
            <w:tcW w:w="1095" w:type="dxa"/>
          </w:tcPr>
          <w:p w:rsidR="00C81954" w:rsidRPr="00AB7A49" w:rsidRDefault="00C81954" w:rsidP="00800C54">
            <w:pPr>
              <w:jc w:val="right"/>
            </w:pPr>
            <w:r w:rsidRPr="00AB7A49">
              <w:t>1,486</w:t>
            </w:r>
          </w:p>
        </w:tc>
      </w:tr>
      <w:tr w:rsidR="00C81954" w:rsidRPr="00AB7A49" w:rsidTr="00800C54">
        <w:tc>
          <w:tcPr>
            <w:tcW w:w="1848" w:type="dxa"/>
          </w:tcPr>
          <w:p w:rsidR="00C81954" w:rsidRPr="00AB7A49" w:rsidRDefault="00C81954" w:rsidP="00800C54">
            <w:r w:rsidRPr="00AB7A49">
              <w:t>FPN</w:t>
            </w:r>
          </w:p>
        </w:tc>
        <w:tc>
          <w:tcPr>
            <w:tcW w:w="1095" w:type="dxa"/>
          </w:tcPr>
          <w:p w:rsidR="00C81954" w:rsidRPr="00AB7A49" w:rsidRDefault="00C81954" w:rsidP="00800C54">
            <w:pPr>
              <w:jc w:val="right"/>
            </w:pPr>
            <w:r w:rsidRPr="00AB7A49">
              <w:t>37</w:t>
            </w:r>
          </w:p>
        </w:tc>
      </w:tr>
      <w:tr w:rsidR="00C81954" w:rsidRPr="00AB7A49" w:rsidTr="00800C54">
        <w:tc>
          <w:tcPr>
            <w:tcW w:w="1848" w:type="dxa"/>
          </w:tcPr>
          <w:p w:rsidR="00C81954" w:rsidRPr="00AB7A49" w:rsidRDefault="00C81954" w:rsidP="00800C54">
            <w:r w:rsidRPr="00AB7A49">
              <w:t>Prosecution</w:t>
            </w:r>
          </w:p>
        </w:tc>
        <w:tc>
          <w:tcPr>
            <w:tcW w:w="1095" w:type="dxa"/>
          </w:tcPr>
          <w:p w:rsidR="00C81954" w:rsidRPr="00AB7A49" w:rsidRDefault="00C81954" w:rsidP="00800C54">
            <w:pPr>
              <w:jc w:val="right"/>
            </w:pPr>
            <w:r w:rsidRPr="00AB7A49">
              <w:t>N/A</w:t>
            </w:r>
          </w:p>
        </w:tc>
      </w:tr>
    </w:tbl>
    <w:p w:rsidR="00C81954" w:rsidRPr="00AB7A49" w:rsidRDefault="00C81954" w:rsidP="00C81954">
      <w:pPr>
        <w:rPr>
          <w:rFonts w:ascii="Arial" w:hAnsi="Arial" w:cs="Arial"/>
        </w:rPr>
      </w:pPr>
    </w:p>
    <w:p w:rsidR="00C81954" w:rsidRDefault="00C81954" w:rsidP="00C81954">
      <w:pPr>
        <w:pStyle w:val="ListParagraph"/>
        <w:numPr>
          <w:ilvl w:val="0"/>
          <w:numId w:val="1"/>
        </w:numPr>
        <w:tabs>
          <w:tab w:val="clear" w:pos="426"/>
        </w:tabs>
        <w:ind w:left="426" w:hanging="426"/>
        <w:rPr>
          <w:rFonts w:cs="Arial"/>
        </w:rPr>
      </w:pPr>
      <w:r w:rsidRPr="00734E15">
        <w:rPr>
          <w:rFonts w:cs="Arial"/>
        </w:rPr>
        <w:t>In 2015</w:t>
      </w:r>
      <w:r>
        <w:rPr>
          <w:rFonts w:cs="Arial"/>
        </w:rPr>
        <w:t>,</w:t>
      </w:r>
      <w:r w:rsidRPr="00734E15">
        <w:rPr>
          <w:rFonts w:cs="Arial"/>
        </w:rPr>
        <w:t xml:space="preserve"> Slough Borough Council issued 200 CPWs and 50 CPNs mainly for street drinking, aggressive begging, nuisance neighbours and noise complaints.</w:t>
      </w:r>
    </w:p>
    <w:p w:rsidR="00C81954" w:rsidRDefault="00C81954" w:rsidP="00C81954">
      <w:pPr>
        <w:pStyle w:val="ListParagraph"/>
        <w:numPr>
          <w:ilvl w:val="0"/>
          <w:numId w:val="1"/>
        </w:numPr>
        <w:tabs>
          <w:tab w:val="clear" w:pos="426"/>
        </w:tabs>
        <w:spacing w:line="276" w:lineRule="auto"/>
        <w:ind w:left="426" w:hanging="426"/>
        <w:rPr>
          <w:rFonts w:cs="Arial"/>
        </w:rPr>
      </w:pPr>
      <w:r w:rsidRPr="00734E15">
        <w:rPr>
          <w:rFonts w:cs="Arial"/>
        </w:rPr>
        <w:t>Our A</w:t>
      </w:r>
      <w:r>
        <w:rPr>
          <w:rFonts w:cs="Arial"/>
        </w:rPr>
        <w:t>ntisocial Behaviour</w:t>
      </w:r>
      <w:r w:rsidRPr="00734E15">
        <w:rPr>
          <w:rFonts w:cs="Arial"/>
        </w:rPr>
        <w:t xml:space="preserve"> Service deal with around 1,500 cases per year; CPNs are used in relatively few cases.  We find that giving advice and intervening at the earliest opportunity often avoids formal sanctions.  Similar to Newham, about 1 in 5 CPWs are breached and lead to a CPN.  This ratio is repeated from CPN to FPN.  </w:t>
      </w:r>
    </w:p>
    <w:p w:rsidR="00C81954" w:rsidRPr="00734E15" w:rsidRDefault="00C81954" w:rsidP="00C81954">
      <w:pPr>
        <w:pStyle w:val="ListParagraph"/>
        <w:numPr>
          <w:ilvl w:val="0"/>
          <w:numId w:val="1"/>
        </w:numPr>
        <w:tabs>
          <w:tab w:val="clear" w:pos="426"/>
        </w:tabs>
        <w:spacing w:line="276" w:lineRule="auto"/>
        <w:ind w:left="426" w:hanging="426"/>
        <w:rPr>
          <w:rFonts w:cs="Arial"/>
        </w:rPr>
      </w:pPr>
      <w:r w:rsidRPr="00734E15">
        <w:rPr>
          <w:rFonts w:cs="Arial"/>
        </w:rPr>
        <w:t>The Council’s approach to challenging behaviours restricted by the PSPO adheres to the Corporate Enforcement Policy which requires officers to take the lowest form of intervention suitable to the case.  To support this approach a Frequently Asked Questions slip was created and issued to people who are in breach of the PSPO restrictions.  The FAQ answers a number of questions and contains the full Order on the rear of the sheet.  Since the introduction of the Order on 1</w:t>
      </w:r>
      <w:r w:rsidRPr="00734E15">
        <w:rPr>
          <w:rFonts w:cs="Arial"/>
          <w:vertAlign w:val="superscript"/>
        </w:rPr>
        <w:t>st</w:t>
      </w:r>
      <w:r w:rsidRPr="00734E15">
        <w:rPr>
          <w:rFonts w:cs="Arial"/>
        </w:rPr>
        <w:t xml:space="preserve"> February 2016, the compliance rate on first engagement is extremely high as illustrated in the table below.  There have been no prosecutions at court.</w:t>
      </w:r>
    </w:p>
    <w:p w:rsidR="00C81954" w:rsidRPr="00AB7A49" w:rsidRDefault="00C81954" w:rsidP="00C81954">
      <w:pPr>
        <w:rPr>
          <w:rFonts w:ascii="Arial" w:hAnsi="Arial" w:cs="Arial"/>
        </w:rPr>
      </w:pPr>
    </w:p>
    <w:tbl>
      <w:tblPr>
        <w:tblStyle w:val="TableGrid"/>
        <w:tblW w:w="0" w:type="auto"/>
        <w:tblInd w:w="108" w:type="dxa"/>
        <w:tblLook w:val="04A0" w:firstRow="1" w:lastRow="0" w:firstColumn="1" w:lastColumn="0" w:noHBand="0" w:noVBand="1"/>
      </w:tblPr>
      <w:tblGrid>
        <w:gridCol w:w="4077"/>
        <w:gridCol w:w="2055"/>
        <w:gridCol w:w="2056"/>
      </w:tblGrid>
      <w:tr w:rsidR="00C81954" w:rsidRPr="00AB7A49" w:rsidTr="00800C54">
        <w:tc>
          <w:tcPr>
            <w:tcW w:w="4077" w:type="dxa"/>
          </w:tcPr>
          <w:p w:rsidR="00C81954" w:rsidRPr="00AB7A49" w:rsidRDefault="00C81954" w:rsidP="00800C54">
            <w:r w:rsidRPr="00AB7A49">
              <w:t>Type of restriction</w:t>
            </w:r>
          </w:p>
        </w:tc>
        <w:tc>
          <w:tcPr>
            <w:tcW w:w="2055" w:type="dxa"/>
          </w:tcPr>
          <w:p w:rsidR="00C81954" w:rsidRPr="00AB7A49" w:rsidRDefault="00C81954" w:rsidP="00800C54">
            <w:pPr>
              <w:jc w:val="center"/>
            </w:pPr>
            <w:r w:rsidRPr="00AB7A49">
              <w:t>FAQs issued</w:t>
            </w:r>
          </w:p>
        </w:tc>
        <w:tc>
          <w:tcPr>
            <w:tcW w:w="2056" w:type="dxa"/>
          </w:tcPr>
          <w:p w:rsidR="00C81954" w:rsidRPr="00AB7A49" w:rsidRDefault="00C81954" w:rsidP="00800C54">
            <w:pPr>
              <w:jc w:val="center"/>
            </w:pPr>
            <w:r w:rsidRPr="00AB7A49">
              <w:t>FPNs issued</w:t>
            </w:r>
          </w:p>
        </w:tc>
      </w:tr>
      <w:tr w:rsidR="00C81954" w:rsidRPr="00AB7A49" w:rsidTr="00800C54">
        <w:tc>
          <w:tcPr>
            <w:tcW w:w="4077" w:type="dxa"/>
          </w:tcPr>
          <w:p w:rsidR="00C81954" w:rsidRPr="00AB7A49" w:rsidRDefault="00C81954" w:rsidP="00800C54">
            <w:r w:rsidRPr="00AB7A49">
              <w:t>Alcohol disorder</w:t>
            </w:r>
          </w:p>
        </w:tc>
        <w:tc>
          <w:tcPr>
            <w:tcW w:w="2055" w:type="dxa"/>
          </w:tcPr>
          <w:p w:rsidR="00C81954" w:rsidRPr="00AB7A49" w:rsidRDefault="00C81954" w:rsidP="00800C54">
            <w:pPr>
              <w:jc w:val="center"/>
            </w:pPr>
            <w:r w:rsidRPr="00AB7A49">
              <w:t>9</w:t>
            </w:r>
          </w:p>
        </w:tc>
        <w:tc>
          <w:tcPr>
            <w:tcW w:w="2056" w:type="dxa"/>
          </w:tcPr>
          <w:p w:rsidR="00C81954" w:rsidRPr="00AB7A49" w:rsidRDefault="00C81954" w:rsidP="00800C54">
            <w:pPr>
              <w:jc w:val="center"/>
            </w:pPr>
            <w:r w:rsidRPr="00AB7A49">
              <w:t>0</w:t>
            </w:r>
          </w:p>
        </w:tc>
      </w:tr>
      <w:tr w:rsidR="00C81954" w:rsidRPr="00AB7A49" w:rsidTr="00800C54">
        <w:tc>
          <w:tcPr>
            <w:tcW w:w="4077" w:type="dxa"/>
          </w:tcPr>
          <w:p w:rsidR="00C81954" w:rsidRPr="00AB7A49" w:rsidRDefault="00C81954" w:rsidP="00800C54">
            <w:r w:rsidRPr="00AB7A49">
              <w:t>Aggressive begging</w:t>
            </w:r>
          </w:p>
        </w:tc>
        <w:tc>
          <w:tcPr>
            <w:tcW w:w="2055" w:type="dxa"/>
          </w:tcPr>
          <w:p w:rsidR="00C81954" w:rsidRPr="00AB7A49" w:rsidRDefault="00C81954" w:rsidP="00800C54">
            <w:pPr>
              <w:jc w:val="center"/>
            </w:pPr>
            <w:r w:rsidRPr="00AB7A49">
              <w:t>38</w:t>
            </w:r>
          </w:p>
        </w:tc>
        <w:tc>
          <w:tcPr>
            <w:tcW w:w="2056" w:type="dxa"/>
          </w:tcPr>
          <w:p w:rsidR="00C81954" w:rsidRPr="00AB7A49" w:rsidRDefault="00C81954" w:rsidP="00800C54">
            <w:pPr>
              <w:jc w:val="center"/>
            </w:pPr>
            <w:r w:rsidRPr="00AB7A49">
              <w:t>0</w:t>
            </w:r>
          </w:p>
        </w:tc>
      </w:tr>
      <w:tr w:rsidR="00C81954" w:rsidRPr="00AB7A49" w:rsidTr="00800C54">
        <w:tc>
          <w:tcPr>
            <w:tcW w:w="4077" w:type="dxa"/>
          </w:tcPr>
          <w:p w:rsidR="00C81954" w:rsidRPr="00AB7A49" w:rsidRDefault="00C81954" w:rsidP="00800C54">
            <w:r w:rsidRPr="00AB7A49">
              <w:t>Cycling in a restricted area</w:t>
            </w:r>
          </w:p>
        </w:tc>
        <w:tc>
          <w:tcPr>
            <w:tcW w:w="2055" w:type="dxa"/>
          </w:tcPr>
          <w:p w:rsidR="00C81954" w:rsidRPr="00AB7A49" w:rsidRDefault="00C81954" w:rsidP="00800C54">
            <w:pPr>
              <w:jc w:val="center"/>
            </w:pPr>
            <w:r w:rsidRPr="00AB7A49">
              <w:t>308</w:t>
            </w:r>
          </w:p>
        </w:tc>
        <w:tc>
          <w:tcPr>
            <w:tcW w:w="2056" w:type="dxa"/>
          </w:tcPr>
          <w:p w:rsidR="00C81954" w:rsidRPr="00AB7A49" w:rsidRDefault="00C81954" w:rsidP="00800C54">
            <w:pPr>
              <w:jc w:val="center"/>
            </w:pPr>
            <w:r w:rsidRPr="00AB7A49">
              <w:t>0</w:t>
            </w:r>
          </w:p>
        </w:tc>
      </w:tr>
      <w:tr w:rsidR="00C81954" w:rsidRPr="00AB7A49" w:rsidTr="00800C54">
        <w:tc>
          <w:tcPr>
            <w:tcW w:w="4077" w:type="dxa"/>
          </w:tcPr>
          <w:p w:rsidR="00C81954" w:rsidRPr="00AB7A49" w:rsidRDefault="00C81954" w:rsidP="00800C54">
            <w:r w:rsidRPr="00AB7A49">
              <w:t>Dog control</w:t>
            </w:r>
          </w:p>
        </w:tc>
        <w:tc>
          <w:tcPr>
            <w:tcW w:w="2055" w:type="dxa"/>
          </w:tcPr>
          <w:p w:rsidR="00C81954" w:rsidRPr="00AB7A49" w:rsidRDefault="00C81954" w:rsidP="00800C54">
            <w:pPr>
              <w:jc w:val="center"/>
            </w:pPr>
            <w:r w:rsidRPr="00AB7A49">
              <w:t>9</w:t>
            </w:r>
          </w:p>
        </w:tc>
        <w:tc>
          <w:tcPr>
            <w:tcW w:w="2056" w:type="dxa"/>
          </w:tcPr>
          <w:p w:rsidR="00C81954" w:rsidRPr="00AB7A49" w:rsidRDefault="00C81954" w:rsidP="00800C54">
            <w:pPr>
              <w:jc w:val="center"/>
            </w:pPr>
            <w:r w:rsidRPr="00AB7A49">
              <w:t>0</w:t>
            </w:r>
          </w:p>
        </w:tc>
      </w:tr>
      <w:tr w:rsidR="00C81954" w:rsidRPr="00AB7A49" w:rsidTr="00800C54">
        <w:tc>
          <w:tcPr>
            <w:tcW w:w="4077" w:type="dxa"/>
          </w:tcPr>
          <w:p w:rsidR="00C81954" w:rsidRPr="00AB7A49" w:rsidRDefault="00C81954" w:rsidP="00800C54">
            <w:proofErr w:type="spellStart"/>
            <w:r w:rsidRPr="00AB7A49">
              <w:t>Pedlar</w:t>
            </w:r>
            <w:proofErr w:type="spellEnd"/>
            <w:r w:rsidRPr="00AB7A49">
              <w:t xml:space="preserve"> restrictions</w:t>
            </w:r>
          </w:p>
        </w:tc>
        <w:tc>
          <w:tcPr>
            <w:tcW w:w="2055" w:type="dxa"/>
          </w:tcPr>
          <w:p w:rsidR="00C81954" w:rsidRPr="00AB7A49" w:rsidRDefault="00C81954" w:rsidP="00800C54">
            <w:pPr>
              <w:jc w:val="center"/>
            </w:pPr>
            <w:r w:rsidRPr="00AB7A49">
              <w:t>92</w:t>
            </w:r>
          </w:p>
        </w:tc>
        <w:tc>
          <w:tcPr>
            <w:tcW w:w="2056" w:type="dxa"/>
          </w:tcPr>
          <w:p w:rsidR="00C81954" w:rsidRPr="00AB7A49" w:rsidRDefault="00C81954" w:rsidP="00800C54">
            <w:pPr>
              <w:jc w:val="center"/>
            </w:pPr>
            <w:r w:rsidRPr="00AB7A49">
              <w:t>4</w:t>
            </w:r>
          </w:p>
        </w:tc>
      </w:tr>
      <w:tr w:rsidR="00C81954" w:rsidRPr="00AB7A49" w:rsidTr="00800C54">
        <w:tc>
          <w:tcPr>
            <w:tcW w:w="4077" w:type="dxa"/>
          </w:tcPr>
          <w:p w:rsidR="00C81954" w:rsidRPr="00AB7A49" w:rsidRDefault="00C81954" w:rsidP="00800C54">
            <w:r w:rsidRPr="00AB7A49">
              <w:t>Street entertainment restrictions</w:t>
            </w:r>
          </w:p>
        </w:tc>
        <w:tc>
          <w:tcPr>
            <w:tcW w:w="2055" w:type="dxa"/>
          </w:tcPr>
          <w:p w:rsidR="00C81954" w:rsidRPr="00AB7A49" w:rsidRDefault="00C81954" w:rsidP="00800C54">
            <w:pPr>
              <w:jc w:val="center"/>
            </w:pPr>
            <w:r w:rsidRPr="00AB7A49">
              <w:t>15</w:t>
            </w:r>
          </w:p>
        </w:tc>
        <w:tc>
          <w:tcPr>
            <w:tcW w:w="2056" w:type="dxa"/>
          </w:tcPr>
          <w:p w:rsidR="00C81954" w:rsidRPr="00AB7A49" w:rsidRDefault="00C81954" w:rsidP="00800C54">
            <w:pPr>
              <w:jc w:val="center"/>
            </w:pPr>
            <w:r w:rsidRPr="00AB7A49">
              <w:t>0</w:t>
            </w:r>
          </w:p>
        </w:tc>
      </w:tr>
      <w:tr w:rsidR="00C81954" w:rsidRPr="00AB7A49" w:rsidTr="00800C54">
        <w:tc>
          <w:tcPr>
            <w:tcW w:w="4077" w:type="dxa"/>
          </w:tcPr>
          <w:p w:rsidR="00C81954" w:rsidRPr="00AB7A49" w:rsidRDefault="00C81954" w:rsidP="00800C54">
            <w:r w:rsidRPr="00AB7A49">
              <w:t>Remaining in a toilet restriction</w:t>
            </w:r>
          </w:p>
        </w:tc>
        <w:tc>
          <w:tcPr>
            <w:tcW w:w="2055" w:type="dxa"/>
          </w:tcPr>
          <w:p w:rsidR="00C81954" w:rsidRPr="00AB7A49" w:rsidRDefault="00C81954" w:rsidP="00800C54">
            <w:pPr>
              <w:jc w:val="center"/>
            </w:pPr>
            <w:r w:rsidRPr="00AB7A49">
              <w:t>0</w:t>
            </w:r>
          </w:p>
        </w:tc>
        <w:tc>
          <w:tcPr>
            <w:tcW w:w="2056" w:type="dxa"/>
          </w:tcPr>
          <w:p w:rsidR="00C81954" w:rsidRPr="00AB7A49" w:rsidRDefault="00C81954" w:rsidP="00800C54">
            <w:pPr>
              <w:jc w:val="center"/>
            </w:pPr>
            <w:r w:rsidRPr="00AB7A49">
              <w:t>0</w:t>
            </w:r>
          </w:p>
        </w:tc>
      </w:tr>
      <w:tr w:rsidR="00C81954" w:rsidRPr="00AB7A49" w:rsidTr="00800C54">
        <w:tc>
          <w:tcPr>
            <w:tcW w:w="4077" w:type="dxa"/>
          </w:tcPr>
          <w:p w:rsidR="00C81954" w:rsidRPr="00AB7A49" w:rsidRDefault="00C81954" w:rsidP="00800C54">
            <w:r w:rsidRPr="00AB7A49">
              <w:t>Urination or defecation</w:t>
            </w:r>
          </w:p>
        </w:tc>
        <w:tc>
          <w:tcPr>
            <w:tcW w:w="2055" w:type="dxa"/>
          </w:tcPr>
          <w:p w:rsidR="00C81954" w:rsidRPr="00AB7A49" w:rsidRDefault="00C81954" w:rsidP="00800C54">
            <w:pPr>
              <w:jc w:val="center"/>
            </w:pPr>
            <w:r w:rsidRPr="00AB7A49">
              <w:t>0</w:t>
            </w:r>
          </w:p>
        </w:tc>
        <w:tc>
          <w:tcPr>
            <w:tcW w:w="2056" w:type="dxa"/>
          </w:tcPr>
          <w:p w:rsidR="00C81954" w:rsidRPr="00AB7A49" w:rsidRDefault="00C81954" w:rsidP="00800C54">
            <w:pPr>
              <w:jc w:val="center"/>
            </w:pPr>
            <w:r w:rsidRPr="00AB7A49">
              <w:t>0</w:t>
            </w:r>
          </w:p>
        </w:tc>
      </w:tr>
    </w:tbl>
    <w:p w:rsidR="00C81954" w:rsidRPr="00AB7A49" w:rsidRDefault="00C81954" w:rsidP="00C81954">
      <w:pPr>
        <w:rPr>
          <w:rFonts w:ascii="Arial" w:hAnsi="Arial" w:cs="Arial"/>
        </w:rPr>
      </w:pPr>
    </w:p>
    <w:p w:rsidR="00C81954" w:rsidRDefault="00C81954" w:rsidP="00C81954">
      <w:pPr>
        <w:pStyle w:val="ListParagraph"/>
        <w:numPr>
          <w:ilvl w:val="0"/>
          <w:numId w:val="1"/>
        </w:numPr>
        <w:tabs>
          <w:tab w:val="clear" w:pos="426"/>
        </w:tabs>
        <w:spacing w:line="276" w:lineRule="auto"/>
        <w:ind w:left="426" w:hanging="426"/>
        <w:rPr>
          <w:rFonts w:cs="Arial"/>
        </w:rPr>
      </w:pPr>
      <w:r w:rsidRPr="00734E15">
        <w:rPr>
          <w:rFonts w:cs="Arial"/>
        </w:rPr>
        <w:t xml:space="preserve">The numbers of FAQs for cycling do not reflect the number of requests by Council officers for people to stop cycling in the restricted area. </w:t>
      </w:r>
    </w:p>
    <w:p w:rsidR="00C81954" w:rsidRPr="00F02F03" w:rsidRDefault="00C81954" w:rsidP="00C81954">
      <w:pPr>
        <w:pStyle w:val="ListParagraph"/>
        <w:numPr>
          <w:ilvl w:val="0"/>
          <w:numId w:val="1"/>
        </w:numPr>
        <w:tabs>
          <w:tab w:val="clear" w:pos="426"/>
        </w:tabs>
        <w:spacing w:line="276" w:lineRule="auto"/>
        <w:ind w:left="426" w:hanging="426"/>
        <w:rPr>
          <w:rFonts w:cs="Arial"/>
        </w:rPr>
      </w:pPr>
      <w:r w:rsidRPr="00F02F03">
        <w:rPr>
          <w:rFonts w:cs="Arial"/>
        </w:rPr>
        <w:t>Although there has been no FAQs issued for toilet restrictions there is a serious and growing problem regarding drug misuse and discarded paraphernalia in public toilets in the city centre.</w:t>
      </w:r>
      <w:bookmarkStart w:id="0" w:name="_GoBack"/>
      <w:bookmarkEnd w:id="0"/>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078E2"/>
    <w:multiLevelType w:val="hybridMultilevel"/>
    <w:tmpl w:val="2ED4DD24"/>
    <w:lvl w:ilvl="0" w:tplc="4984BAA4">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54"/>
    <w:rsid w:val="000B4310"/>
    <w:rsid w:val="004000D7"/>
    <w:rsid w:val="00504E43"/>
    <w:rsid w:val="007908F4"/>
    <w:rsid w:val="008A22C6"/>
    <w:rsid w:val="00C07F80"/>
    <w:rsid w:val="00C81954"/>
    <w:rsid w:val="00F02F0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195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954"/>
    <w:rPr>
      <w:u w:val="single"/>
    </w:rPr>
  </w:style>
  <w:style w:type="paragraph" w:styleId="ListParagraph">
    <w:name w:val="List Paragraph"/>
    <w:basedOn w:val="Normal"/>
    <w:link w:val="ListParagraphChar"/>
    <w:qFormat/>
    <w:rsid w:val="00C8195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pPr>
    <w:rPr>
      <w:rFonts w:ascii="Arial" w:eastAsia="Times New Roman" w:hAnsi="Arial"/>
      <w:color w:val="000000"/>
      <w:bdr w:val="none" w:sz="0" w:space="0" w:color="auto"/>
      <w:lang w:val="en-GB" w:eastAsia="en-GB"/>
    </w:rPr>
  </w:style>
  <w:style w:type="character" w:customStyle="1" w:styleId="ListParagraphChar">
    <w:name w:val="List Paragraph Char"/>
    <w:link w:val="ListParagraph"/>
    <w:rsid w:val="00C81954"/>
    <w:rPr>
      <w:rFonts w:eastAsia="Times New Roman" w:cs="Times New Roman"/>
      <w:color w:val="000000"/>
      <w:lang w:eastAsia="en-GB"/>
    </w:rPr>
  </w:style>
  <w:style w:type="table" w:styleId="TableGrid">
    <w:name w:val="Table Grid"/>
    <w:basedOn w:val="TableNormal"/>
    <w:uiPriority w:val="59"/>
    <w:rsid w:val="00C8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195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954"/>
    <w:rPr>
      <w:u w:val="single"/>
    </w:rPr>
  </w:style>
  <w:style w:type="paragraph" w:styleId="ListParagraph">
    <w:name w:val="List Paragraph"/>
    <w:basedOn w:val="Normal"/>
    <w:link w:val="ListParagraphChar"/>
    <w:qFormat/>
    <w:rsid w:val="00C8195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pPr>
    <w:rPr>
      <w:rFonts w:ascii="Arial" w:eastAsia="Times New Roman" w:hAnsi="Arial"/>
      <w:color w:val="000000"/>
      <w:bdr w:val="none" w:sz="0" w:space="0" w:color="auto"/>
      <w:lang w:val="en-GB" w:eastAsia="en-GB"/>
    </w:rPr>
  </w:style>
  <w:style w:type="character" w:customStyle="1" w:styleId="ListParagraphChar">
    <w:name w:val="List Paragraph Char"/>
    <w:link w:val="ListParagraph"/>
    <w:rsid w:val="00C81954"/>
    <w:rPr>
      <w:rFonts w:eastAsia="Times New Roman" w:cs="Times New Roman"/>
      <w:color w:val="000000"/>
      <w:lang w:eastAsia="en-GB"/>
    </w:rPr>
  </w:style>
  <w:style w:type="table" w:styleId="TableGrid">
    <w:name w:val="Table Grid"/>
    <w:basedOn w:val="TableNormal"/>
    <w:uiPriority w:val="59"/>
    <w:rsid w:val="00C8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anti-social-behaviour-crime-and-policing-bill-anti-social-behaviou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962D-58D2-4C08-A08C-4093E5D6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FC79E419</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2</cp:revision>
  <dcterms:created xsi:type="dcterms:W3CDTF">2017-12-28T16:20:00Z</dcterms:created>
  <dcterms:modified xsi:type="dcterms:W3CDTF">2018-01-03T14:38:00Z</dcterms:modified>
</cp:coreProperties>
</file>